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A3" w:rsidRDefault="00C306A3" w:rsidP="00C306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C306A3" w:rsidRDefault="00C306A3" w:rsidP="00C306A3">
      <w:pPr>
        <w:jc w:val="both"/>
        <w:rPr>
          <w:rFonts w:ascii="Arial" w:hAnsi="Arial" w:cs="Arial"/>
          <w:lang w:val="sr-Latn-CS"/>
        </w:rPr>
      </w:pPr>
    </w:p>
    <w:p w:rsidR="00C306A3" w:rsidRDefault="00C306A3" w:rsidP="00C306A3">
      <w:pPr>
        <w:rPr>
          <w:rFonts w:ascii="Arial" w:hAnsi="Arial" w:cs="Arial"/>
          <w:lang w:val="sr-Latn-CS"/>
        </w:rPr>
      </w:pPr>
    </w:p>
    <w:p w:rsidR="00C306A3" w:rsidRDefault="00C306A3" w:rsidP="00C306A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C306A3" w:rsidRDefault="00C306A3" w:rsidP="00C306A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C306A3" w:rsidRDefault="00C306A3" w:rsidP="00C306A3">
      <w:pPr>
        <w:rPr>
          <w:rFonts w:ascii="Arial" w:hAnsi="Arial" w:cs="Arial"/>
          <w:b/>
          <w:sz w:val="28"/>
          <w:szCs w:val="28"/>
          <w:lang w:val="sr-Latn-CS"/>
        </w:rPr>
      </w:pPr>
    </w:p>
    <w:p w:rsidR="00C306A3" w:rsidRDefault="00C306A3" w:rsidP="00C306A3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C306A3" w:rsidRDefault="00C306A3" w:rsidP="00C306A3">
      <w:pPr>
        <w:rPr>
          <w:rFonts w:ascii="Arial" w:hAnsi="Arial" w:cs="Arial"/>
          <w:b/>
          <w:lang w:val="sr-Latn-CS"/>
        </w:rPr>
      </w:pPr>
    </w:p>
    <w:p w:rsidR="00C306A3" w:rsidRDefault="00C306A3" w:rsidP="00C306A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C306A3" w:rsidRDefault="00C306A3" w:rsidP="00C306A3">
      <w:pPr>
        <w:rPr>
          <w:rFonts w:ascii="Arial" w:hAnsi="Arial" w:cs="Arial"/>
          <w:sz w:val="28"/>
          <w:szCs w:val="28"/>
          <w:lang w:val="sr-Latn-CS"/>
        </w:rPr>
      </w:pPr>
    </w:p>
    <w:p w:rsidR="00C306A3" w:rsidRDefault="00C306A3" w:rsidP="00C306A3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</w:t>
      </w:r>
      <w:r w:rsidR="00CD1689">
        <w:rPr>
          <w:rFonts w:ascii="Arial" w:hAnsi="Arial" w:cs="Arial"/>
          <w:sz w:val="28"/>
          <w:szCs w:val="28"/>
          <w:lang w:val="sr-Latn-CS"/>
        </w:rPr>
        <w:t>je nosilac projekta „FABLIVE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procjeni uticaja na život</w:t>
      </w:r>
      <w:r w:rsidR="00CD1689">
        <w:rPr>
          <w:rFonts w:ascii="Arial" w:hAnsi="Arial" w:cs="Arial"/>
          <w:sz w:val="28"/>
          <w:szCs w:val="28"/>
          <w:lang w:val="sr-Latn-CS"/>
        </w:rPr>
        <w:t>nu sredinu za izgradnju objekta ruralnog razvoja – Vinarija, na katastarskoj parceli br.900, KO Golubovci, u zahvatu PUP-a Podgorica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C306A3" w:rsidRDefault="00C306A3" w:rsidP="00C306A3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C306A3" w:rsidRDefault="00C306A3" w:rsidP="00C306A3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C306A3" w:rsidRDefault="00C306A3" w:rsidP="00C306A3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C306A3" w:rsidRDefault="00C306A3" w:rsidP="00C306A3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720512" w:rsidRDefault="00720512"/>
    <w:sectPr w:rsidR="00720512" w:rsidSect="0072051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6A3"/>
    <w:rsid w:val="002B6B9A"/>
    <w:rsid w:val="00720512"/>
    <w:rsid w:val="00C306A3"/>
    <w:rsid w:val="00CD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0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2019-05-14T06:52:00Z</dcterms:created>
  <dcterms:modified xsi:type="dcterms:W3CDTF">2019-05-14T06:58:00Z</dcterms:modified>
</cp:coreProperties>
</file>